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pStyle w:val="4"/>
        <w:rPr>
          <w:rFonts w:hint="eastAsia"/>
          <w:lang w:eastAsia="zh-CN"/>
        </w:rPr>
      </w:pPr>
    </w:p>
    <w:p>
      <w:pPr>
        <w:pStyle w:val="4"/>
        <w:jc w:val="center"/>
        <w:rPr>
          <w:rFonts w:hint="eastAsia" w:asciiTheme="majorEastAsia" w:hAnsiTheme="majorEastAsia" w:eastAsiaTheme="majorEastAsia" w:cstheme="majorEastAsia"/>
          <w:b/>
          <w:bCs/>
          <w:sz w:val="44"/>
          <w:szCs w:val="44"/>
          <w:lang w:eastAsia="zh-CN"/>
        </w:rPr>
      </w:pPr>
      <w:bookmarkStart w:id="0" w:name="_GoBack"/>
      <w:r>
        <w:rPr>
          <w:rFonts w:hint="eastAsia" w:asciiTheme="majorEastAsia" w:hAnsiTheme="majorEastAsia" w:eastAsiaTheme="majorEastAsia" w:cstheme="majorEastAsia"/>
          <w:b/>
          <w:bCs/>
          <w:sz w:val="44"/>
          <w:szCs w:val="44"/>
          <w:lang w:eastAsia="zh-CN"/>
        </w:rPr>
        <w:t>“公建民营等养老机构服务不规范问题”点题整治工作重点</w:t>
      </w:r>
      <w:bookmarkEnd w:id="0"/>
    </w:p>
    <w:p>
      <w:pPr>
        <w:pStyle w:val="4"/>
        <w:keepNext w:val="0"/>
        <w:keepLines w:val="0"/>
        <w:pageBreakBefore w:val="0"/>
        <w:widowControl w:val="0"/>
        <w:kinsoku/>
        <w:wordWrap/>
        <w:overflowPunct/>
        <w:topLinePunct w:val="0"/>
        <w:autoSpaceDE/>
        <w:autoSpaceDN/>
        <w:bidi w:val="0"/>
        <w:adjustRightInd w:val="0"/>
        <w:snapToGrid w:val="0"/>
        <w:spacing w:line="280" w:lineRule="exact"/>
        <w:jc w:val="both"/>
        <w:textAlignment w:val="auto"/>
        <w:rPr>
          <w:rFonts w:hint="eastAsia" w:ascii="方正小标宋简体" w:hAnsi="方正小标宋简体" w:eastAsia="方正小标宋简体" w:cs="方正小标宋简体"/>
          <w:sz w:val="44"/>
          <w:szCs w:val="44"/>
          <w:lang w:eastAsia="zh-CN"/>
        </w:rPr>
      </w:pPr>
    </w:p>
    <w:tbl>
      <w:tblPr>
        <w:tblStyle w:val="6"/>
        <w:tblW w:w="13619" w:type="dxa"/>
        <w:jc w:val="center"/>
        <w:tblLayout w:type="fixed"/>
        <w:tblCellMar>
          <w:top w:w="0" w:type="dxa"/>
          <w:left w:w="108" w:type="dxa"/>
          <w:bottom w:w="0" w:type="dxa"/>
          <w:right w:w="108" w:type="dxa"/>
        </w:tblCellMar>
      </w:tblPr>
      <w:tblGrid>
        <w:gridCol w:w="561"/>
        <w:gridCol w:w="1073"/>
        <w:gridCol w:w="5823"/>
        <w:gridCol w:w="6162"/>
      </w:tblGrid>
      <w:tr>
        <w:tblPrEx>
          <w:tblCellMar>
            <w:top w:w="0" w:type="dxa"/>
            <w:left w:w="108" w:type="dxa"/>
            <w:bottom w:w="0" w:type="dxa"/>
            <w:right w:w="108" w:type="dxa"/>
          </w:tblCellMar>
        </w:tblPrEx>
        <w:trPr>
          <w:cantSplit/>
          <w:trHeight w:val="566"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color w:val="000000"/>
                <w:kern w:val="0"/>
                <w:sz w:val="21"/>
                <w:szCs w:val="21"/>
                <w:lang w:bidi="ar"/>
              </w:rPr>
            </w:pPr>
            <w:r>
              <w:rPr>
                <w:rFonts w:hint="eastAsia" w:ascii="黑体" w:hAnsi="黑体" w:eastAsia="黑体" w:cs="黑体"/>
                <w:b/>
                <w:bCs/>
                <w:color w:val="000000"/>
                <w:kern w:val="0"/>
                <w:sz w:val="21"/>
                <w:szCs w:val="21"/>
                <w:lang w:bidi="ar"/>
              </w:rPr>
              <w:t>序号</w:t>
            </w:r>
          </w:p>
        </w:tc>
        <w:tc>
          <w:tcPr>
            <w:tcW w:w="1073" w:type="dxa"/>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60" w:lineRule="exact"/>
              <w:jc w:val="center"/>
              <w:textAlignment w:val="center"/>
              <w:rPr>
                <w:rFonts w:hint="eastAsia" w:ascii="黑体" w:hAnsi="黑体" w:eastAsia="黑体" w:cs="黑体"/>
                <w:b/>
                <w:bCs/>
                <w:color w:val="000000"/>
                <w:kern w:val="0"/>
                <w:sz w:val="21"/>
                <w:szCs w:val="21"/>
                <w:lang w:bidi="ar"/>
              </w:rPr>
            </w:pPr>
            <w:r>
              <w:rPr>
                <w:rFonts w:hint="eastAsia" w:ascii="黑体" w:hAnsi="黑体" w:eastAsia="黑体" w:cs="黑体"/>
                <w:b/>
                <w:bCs/>
                <w:color w:val="000000"/>
                <w:kern w:val="0"/>
                <w:sz w:val="21"/>
                <w:szCs w:val="21"/>
                <w:lang w:bidi="ar"/>
              </w:rPr>
              <w:t>排查</w:t>
            </w:r>
          </w:p>
          <w:p>
            <w:pPr>
              <w:keepNext w:val="0"/>
              <w:keepLines w:val="0"/>
              <w:pageBreakBefore w:val="0"/>
              <w:widowControl/>
              <w:kinsoku/>
              <w:wordWrap/>
              <w:overflowPunct/>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color w:val="000000"/>
                <w:kern w:val="0"/>
                <w:sz w:val="21"/>
                <w:szCs w:val="21"/>
                <w:lang w:bidi="ar"/>
              </w:rPr>
            </w:pPr>
            <w:r>
              <w:rPr>
                <w:rFonts w:hint="eastAsia" w:ascii="黑体" w:hAnsi="黑体" w:eastAsia="黑体" w:cs="黑体"/>
                <w:b/>
                <w:bCs/>
                <w:color w:val="000000"/>
                <w:kern w:val="0"/>
                <w:sz w:val="21"/>
                <w:szCs w:val="21"/>
                <w:lang w:bidi="ar"/>
              </w:rPr>
              <w:t>范围</w:t>
            </w: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color w:val="000000"/>
                <w:kern w:val="0"/>
                <w:sz w:val="21"/>
                <w:szCs w:val="21"/>
                <w:lang w:bidi="ar"/>
              </w:rPr>
            </w:pPr>
            <w:r>
              <w:rPr>
                <w:rFonts w:hint="eastAsia" w:ascii="黑体" w:hAnsi="黑体" w:eastAsia="黑体" w:cs="黑体"/>
                <w:b/>
                <w:bCs/>
                <w:color w:val="000000"/>
                <w:kern w:val="0"/>
                <w:sz w:val="21"/>
                <w:szCs w:val="21"/>
                <w:lang w:bidi="ar"/>
              </w:rPr>
              <w:t>整治重点</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黑体" w:hAnsi="黑体" w:eastAsia="黑体" w:cs="黑体"/>
                <w:b/>
                <w:bCs/>
                <w:color w:val="000000"/>
                <w:kern w:val="0"/>
                <w:sz w:val="21"/>
                <w:szCs w:val="21"/>
                <w:lang w:bidi="ar"/>
              </w:rPr>
              <w:t>目标要求</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1</w:t>
            </w:r>
          </w:p>
        </w:tc>
        <w:tc>
          <w:tcPr>
            <w:tcW w:w="1073"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落实兜底保障方面</w:t>
            </w: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是否坚持公办养老机构的公益属性，明确兜底保障床位数量，保障政府兜底对象的养老服务需求。</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公建民营</w:t>
            </w:r>
            <w:r>
              <w:rPr>
                <w:rFonts w:hint="eastAsia" w:ascii="仿宋_GB2312" w:hAnsi="仿宋_GB2312" w:eastAsia="仿宋_GB2312" w:cs="仿宋_GB2312"/>
                <w:color w:val="000000"/>
                <w:kern w:val="0"/>
                <w:sz w:val="21"/>
                <w:szCs w:val="21"/>
                <w:lang w:bidi="ar"/>
              </w:rPr>
              <w:t>运营方应按照合同约定，保留足够用于兜底保障的可用床位数。</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w:t>
            </w:r>
          </w:p>
        </w:tc>
        <w:tc>
          <w:tcPr>
            <w:tcW w:w="1073"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收费价格是否透明，</w:t>
            </w:r>
            <w:r>
              <w:rPr>
                <w:rFonts w:hint="eastAsia" w:ascii="仿宋_GB2312" w:hAnsi="仿宋_GB2312" w:eastAsia="仿宋_GB2312" w:cs="仿宋_GB2312"/>
                <w:color w:val="000000"/>
                <w:kern w:val="0"/>
                <w:sz w:val="21"/>
                <w:szCs w:val="21"/>
                <w:lang w:bidi="ar"/>
              </w:rPr>
              <w:t>对收住社会老年人的，是否按照</w:t>
            </w:r>
            <w:r>
              <w:rPr>
                <w:rFonts w:hint="eastAsia" w:ascii="仿宋_GB2312" w:hAnsi="仿宋_GB2312" w:eastAsia="仿宋_GB2312" w:cs="仿宋_GB2312"/>
                <w:color w:val="000000"/>
                <w:kern w:val="0"/>
                <w:sz w:val="21"/>
                <w:szCs w:val="21"/>
                <w:lang w:eastAsia="zh-CN" w:bidi="ar"/>
              </w:rPr>
              <w:t>《福建省养老机构收费管理办法》规范收费为</w:t>
            </w:r>
            <w:r>
              <w:rPr>
                <w:rFonts w:hint="eastAsia" w:ascii="仿宋_GB2312" w:hAnsi="仿宋_GB2312" w:eastAsia="仿宋_GB2312" w:cs="仿宋_GB2312"/>
                <w:color w:val="000000"/>
                <w:kern w:val="0"/>
                <w:sz w:val="21"/>
                <w:szCs w:val="21"/>
                <w:lang w:bidi="ar"/>
              </w:rPr>
              <w:t>。</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养老机构应公开收费价格，</w:t>
            </w:r>
            <w:r>
              <w:rPr>
                <w:rFonts w:hint="eastAsia" w:ascii="仿宋_GB2312" w:hAnsi="仿宋_GB2312" w:eastAsia="仿宋_GB2312" w:cs="仿宋_GB2312"/>
                <w:color w:val="000000"/>
                <w:kern w:val="0"/>
                <w:sz w:val="21"/>
                <w:szCs w:val="21"/>
                <w:lang w:bidi="ar"/>
              </w:rPr>
              <w:t>对收住社会老年人的</w:t>
            </w:r>
            <w:r>
              <w:rPr>
                <w:rFonts w:hint="eastAsia" w:ascii="仿宋_GB2312" w:hAnsi="仿宋_GB2312" w:eastAsia="仿宋_GB2312" w:cs="仿宋_GB2312"/>
                <w:color w:val="000000"/>
                <w:kern w:val="0"/>
                <w:sz w:val="21"/>
                <w:szCs w:val="21"/>
                <w:lang w:eastAsia="zh-CN" w:bidi="ar"/>
              </w:rPr>
              <w:t>应合理定价</w:t>
            </w:r>
            <w:r>
              <w:rPr>
                <w:rFonts w:hint="eastAsia" w:ascii="仿宋_GB2312" w:hAnsi="仿宋_GB2312" w:eastAsia="仿宋_GB2312" w:cs="仿宋_GB2312"/>
                <w:color w:val="000000"/>
                <w:kern w:val="0"/>
                <w:sz w:val="21"/>
                <w:szCs w:val="21"/>
                <w:lang w:bidi="ar"/>
              </w:rPr>
              <w:t>，</w:t>
            </w:r>
            <w:r>
              <w:rPr>
                <w:rFonts w:hint="eastAsia" w:ascii="仿宋_GB2312" w:hAnsi="仿宋_GB2312" w:eastAsia="仿宋_GB2312" w:cs="仿宋_GB2312"/>
                <w:color w:val="000000"/>
                <w:kern w:val="0"/>
                <w:sz w:val="21"/>
                <w:szCs w:val="21"/>
                <w:lang w:eastAsia="zh-CN" w:bidi="ar"/>
              </w:rPr>
              <w:t>提供</w:t>
            </w:r>
            <w:r>
              <w:rPr>
                <w:rFonts w:hint="eastAsia" w:ascii="仿宋_GB2312" w:hAnsi="仿宋_GB2312" w:eastAsia="仿宋_GB2312" w:cs="仿宋_GB2312"/>
                <w:color w:val="000000"/>
                <w:kern w:val="0"/>
                <w:sz w:val="21"/>
                <w:szCs w:val="21"/>
                <w:lang w:bidi="ar"/>
              </w:rPr>
              <w:t>普惠养老服务</w:t>
            </w:r>
            <w:r>
              <w:rPr>
                <w:rFonts w:hint="eastAsia" w:ascii="仿宋_GB2312" w:hAnsi="仿宋_GB2312" w:eastAsia="仿宋_GB2312" w:cs="仿宋_GB2312"/>
                <w:color w:val="000000"/>
                <w:kern w:val="0"/>
                <w:sz w:val="21"/>
                <w:szCs w:val="21"/>
                <w:lang w:eastAsia="zh-CN" w:bidi="ar"/>
              </w:rPr>
              <w:t>。</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w:t>
            </w:r>
          </w:p>
        </w:tc>
        <w:tc>
          <w:tcPr>
            <w:tcW w:w="1073" w:type="dxa"/>
            <w:vMerge w:val="restart"/>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lang w:eastAsia="zh-CN"/>
              </w:rPr>
              <w:t>提升服务质量方面</w:t>
            </w: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护理型养老床位与养老护理员的比例是否不低于</w:t>
            </w:r>
            <w:r>
              <w:rPr>
                <w:rFonts w:hint="eastAsia" w:ascii="仿宋_GB2312" w:hAnsi="仿宋_GB2312" w:eastAsia="仿宋_GB2312" w:cs="仿宋_GB2312"/>
                <w:color w:val="000000"/>
                <w:kern w:val="0"/>
                <w:sz w:val="21"/>
                <w:szCs w:val="21"/>
                <w:lang w:val="en-US" w:eastAsia="zh-CN" w:bidi="ar"/>
              </w:rPr>
              <w:t>1：4，非护理型养老床位与养老护理员的比例是否不低于1：10。</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养老机构应当按照规定配备符合比例要求的有资质的各类养老服务人员。</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073"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养老护理员是否经培训合格后上岗，是否存在态度生硬甚至欺老虐老现象。</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养老机构应对养老护理员培训合格后上岗。</w:t>
            </w:r>
          </w:p>
        </w:tc>
      </w:tr>
      <w:tr>
        <w:tblPrEx>
          <w:tblCellMar>
            <w:top w:w="0" w:type="dxa"/>
            <w:left w:w="108" w:type="dxa"/>
            <w:bottom w:w="0" w:type="dxa"/>
            <w:right w:w="108" w:type="dxa"/>
          </w:tblCellMar>
        </w:tblPrEx>
        <w:trPr>
          <w:cantSplit/>
          <w:trHeight w:val="652"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073"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是否按照国家有关规定</w:t>
            </w:r>
            <w:r>
              <w:rPr>
                <w:rFonts w:hint="eastAsia" w:ascii="仿宋_GB2312" w:hAnsi="仿宋_GB2312" w:eastAsia="仿宋_GB2312" w:cs="仿宋_GB2312"/>
                <w:color w:val="000000"/>
                <w:kern w:val="0"/>
                <w:sz w:val="21"/>
                <w:szCs w:val="21"/>
                <w:lang w:eastAsia="zh-CN" w:bidi="ar"/>
              </w:rPr>
              <w:t>落实</w:t>
            </w:r>
            <w:r>
              <w:rPr>
                <w:rFonts w:hint="eastAsia" w:ascii="仿宋_GB2312" w:hAnsi="仿宋_GB2312" w:eastAsia="仿宋_GB2312" w:cs="仿宋_GB2312"/>
                <w:color w:val="000000"/>
                <w:kern w:val="0"/>
                <w:sz w:val="21"/>
                <w:szCs w:val="21"/>
                <w:lang w:bidi="ar"/>
              </w:rPr>
              <w:t>安全、消防、食品、卫生等</w:t>
            </w:r>
            <w:r>
              <w:rPr>
                <w:rFonts w:hint="eastAsia" w:ascii="仿宋_GB2312" w:hAnsi="仿宋_GB2312" w:eastAsia="仿宋_GB2312" w:cs="仿宋_GB2312"/>
                <w:color w:val="000000"/>
                <w:kern w:val="0"/>
                <w:sz w:val="21"/>
                <w:szCs w:val="21"/>
                <w:lang w:eastAsia="zh-CN" w:bidi="ar"/>
              </w:rPr>
              <w:t>工作。</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养老机构</w:t>
            </w:r>
            <w:r>
              <w:rPr>
                <w:rFonts w:hint="eastAsia" w:ascii="仿宋_GB2312" w:hAnsi="仿宋_GB2312" w:eastAsia="仿宋_GB2312" w:cs="仿宋_GB2312"/>
                <w:color w:val="000000"/>
                <w:kern w:val="0"/>
                <w:sz w:val="21"/>
                <w:szCs w:val="21"/>
                <w:lang w:bidi="ar"/>
              </w:rPr>
              <w:t>应当按照国家有关规定建立健全安全、消防、食品、卫生、财务、档案管理等规章制度，制定服务标准和工作流程，并予以公开。</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073"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kern w:val="0"/>
                <w:sz w:val="21"/>
                <w:szCs w:val="21"/>
                <w:lang w:bidi="ar"/>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是否推行和执行《养老机构服务合同（示范文本）》，保护当事人合法权益。</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各</w:t>
            </w:r>
            <w:r>
              <w:rPr>
                <w:rFonts w:hint="eastAsia" w:ascii="仿宋_GB2312" w:hAnsi="仿宋_GB2312" w:eastAsia="仿宋_GB2312" w:cs="仿宋_GB2312"/>
                <w:color w:val="000000"/>
                <w:kern w:val="0"/>
                <w:sz w:val="21"/>
                <w:szCs w:val="21"/>
                <w:lang w:eastAsia="zh-CN" w:bidi="ar"/>
              </w:rPr>
              <w:t>（镇）街道</w:t>
            </w:r>
            <w:r>
              <w:rPr>
                <w:rFonts w:hint="eastAsia" w:ascii="仿宋_GB2312" w:hAnsi="仿宋_GB2312" w:eastAsia="仿宋_GB2312" w:cs="仿宋_GB2312"/>
                <w:color w:val="000000"/>
                <w:kern w:val="0"/>
                <w:sz w:val="21"/>
                <w:szCs w:val="21"/>
                <w:lang w:bidi="ar"/>
              </w:rPr>
              <w:t>100%推行使用《服务合同（示范文本）》，把它作为加强养老机构管理、规范养老服务行为的一项重要工作来抓。</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7</w:t>
            </w:r>
          </w:p>
        </w:tc>
        <w:tc>
          <w:tcPr>
            <w:tcW w:w="10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eastAsia="zh-CN" w:bidi="ar"/>
              </w:rPr>
              <w:t>加强设施管理方面</w:t>
            </w: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公建民营是否保留原公办机构名称标志铭牌。</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运营方应向所在地民政部门备案养老服务机构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运营时须加挂原公办机构牌子。</w:t>
            </w:r>
          </w:p>
        </w:tc>
      </w:tr>
      <w:tr>
        <w:tblPrEx>
          <w:tblCellMar>
            <w:top w:w="0" w:type="dxa"/>
            <w:left w:w="108" w:type="dxa"/>
            <w:bottom w:w="0" w:type="dxa"/>
            <w:right w:w="108" w:type="dxa"/>
          </w:tblCellMar>
        </w:tblPrEx>
        <w:trPr>
          <w:cantSplit/>
          <w:trHeight w:val="652"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8</w:t>
            </w:r>
          </w:p>
        </w:tc>
        <w:tc>
          <w:tcPr>
            <w:tcW w:w="10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rPr>
                <w:rFonts w:hint="eastAsia" w:ascii="仿宋_GB2312" w:hAnsi="仿宋_GB2312" w:eastAsia="仿宋_GB2312" w:cs="仿宋_GB2312"/>
                <w:color w:val="000000"/>
                <w:sz w:val="21"/>
                <w:szCs w:val="21"/>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是否对相关国有资产进行资产清查、登记造册。</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eastAsia="zh-CN" w:bidi="ar"/>
              </w:rPr>
              <w:t>公建民营所有权方应对</w:t>
            </w:r>
            <w:r>
              <w:rPr>
                <w:rFonts w:hint="eastAsia" w:ascii="仿宋_GB2312" w:hAnsi="仿宋_GB2312" w:eastAsia="仿宋_GB2312" w:cs="仿宋_GB2312"/>
                <w:color w:val="000000"/>
                <w:kern w:val="0"/>
                <w:sz w:val="21"/>
                <w:szCs w:val="21"/>
                <w:lang w:bidi="ar"/>
              </w:rPr>
              <w:t>相关国有资产清查</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100%</w:t>
            </w:r>
            <w:r>
              <w:rPr>
                <w:rFonts w:hint="eastAsia" w:ascii="仿宋_GB2312" w:hAnsi="仿宋_GB2312" w:eastAsia="仿宋_GB2312" w:cs="仿宋_GB2312"/>
                <w:color w:val="000000"/>
                <w:kern w:val="0"/>
                <w:sz w:val="21"/>
                <w:szCs w:val="21"/>
                <w:lang w:eastAsia="zh-CN" w:bidi="ar"/>
              </w:rPr>
              <w:t>完成</w:t>
            </w:r>
            <w:r>
              <w:rPr>
                <w:rFonts w:hint="eastAsia" w:ascii="仿宋_GB2312" w:hAnsi="仿宋_GB2312" w:eastAsia="仿宋_GB2312" w:cs="仿宋_GB2312"/>
                <w:color w:val="000000"/>
                <w:kern w:val="0"/>
                <w:sz w:val="21"/>
                <w:szCs w:val="21"/>
                <w:lang w:bidi="ar"/>
              </w:rPr>
              <w:t>登记造册，做到产权明晰。有条件的可委托具有资质的第三方机构出具《资产评估报告》。</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9</w:t>
            </w:r>
          </w:p>
        </w:tc>
        <w:tc>
          <w:tcPr>
            <w:tcW w:w="1073" w:type="dxa"/>
            <w:vMerge w:val="continue"/>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rPr>
                <w:rFonts w:hint="eastAsia" w:ascii="仿宋_GB2312" w:hAnsi="仿宋_GB2312" w:eastAsia="仿宋_GB2312" w:cs="仿宋_GB2312"/>
                <w:color w:val="000000"/>
                <w:sz w:val="21"/>
                <w:szCs w:val="21"/>
              </w:rPr>
            </w:pPr>
          </w:p>
        </w:tc>
        <w:tc>
          <w:tcPr>
            <w:tcW w:w="582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是否存在无</w:t>
            </w:r>
            <w:r>
              <w:rPr>
                <w:rFonts w:hint="eastAsia" w:ascii="仿宋_GB2312" w:hAnsi="仿宋_GB2312" w:eastAsia="仿宋_GB2312" w:cs="仿宋_GB2312"/>
                <w:color w:val="000000"/>
                <w:kern w:val="0"/>
                <w:sz w:val="21"/>
                <w:szCs w:val="21"/>
                <w:lang w:eastAsia="zh-CN" w:bidi="ar"/>
              </w:rPr>
              <w:t>公建民营</w:t>
            </w:r>
            <w:r>
              <w:rPr>
                <w:rFonts w:hint="eastAsia" w:ascii="仿宋_GB2312" w:hAnsi="仿宋_GB2312" w:eastAsia="仿宋_GB2312" w:cs="仿宋_GB2312"/>
                <w:color w:val="000000"/>
                <w:kern w:val="0"/>
                <w:sz w:val="21"/>
                <w:szCs w:val="21"/>
                <w:lang w:bidi="ar"/>
              </w:rPr>
              <w:t>合同经营、合同不规范以及其他违反国家有关规定实施公建民营的行为。</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依法依规严肃查处公建民营养老服务机构无合同经营、合同不规范以及其他违反国家有关规定实施公建民营的行为。</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07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规范财务制度方面</w:t>
            </w:r>
          </w:p>
        </w:tc>
        <w:tc>
          <w:tcPr>
            <w:tcW w:w="582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养老机构是否规范落实财务管理制度。</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养老机构所有财务收支应当全部纳入本单位财务账户统一管理、统一核算，不得建立帐外帐。</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11</w:t>
            </w:r>
          </w:p>
        </w:tc>
        <w:tc>
          <w:tcPr>
            <w:tcW w:w="107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整治安全隐患方面</w:t>
            </w: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是否提供符合老年人居住的条件，并配备适合老年人安全保护要求的设施、设备及用具。</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eastAsia="zh-CN" w:bidi="ar"/>
              </w:rPr>
              <w:t>所有养老机构应</w:t>
            </w:r>
            <w:r>
              <w:rPr>
                <w:rFonts w:hint="eastAsia" w:ascii="仿宋_GB2312" w:hAnsi="仿宋_GB2312" w:eastAsia="仿宋_GB2312" w:cs="仿宋_GB2312"/>
                <w:color w:val="000000"/>
                <w:kern w:val="0"/>
                <w:sz w:val="21"/>
                <w:szCs w:val="21"/>
                <w:lang w:bidi="ar"/>
              </w:rPr>
              <w:t>符合《养老机构服务安全基本规范》国家强制性标准。</w:t>
            </w:r>
          </w:p>
        </w:tc>
      </w:tr>
      <w:tr>
        <w:tblPrEx>
          <w:tblCellMar>
            <w:top w:w="0" w:type="dxa"/>
            <w:left w:w="108" w:type="dxa"/>
            <w:bottom w:w="0" w:type="dxa"/>
            <w:right w:w="108" w:type="dxa"/>
          </w:tblCellMar>
        </w:tblPrEx>
        <w:trPr>
          <w:cantSplit/>
          <w:trHeight w:val="438"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12</w:t>
            </w:r>
          </w:p>
        </w:tc>
        <w:tc>
          <w:tcPr>
            <w:tcW w:w="10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rPr>
                <w:rFonts w:hint="eastAsia" w:ascii="仿宋_GB2312" w:hAnsi="仿宋_GB2312" w:eastAsia="仿宋_GB2312" w:cs="仿宋_GB2312"/>
                <w:color w:val="000000"/>
                <w:sz w:val="21"/>
                <w:szCs w:val="21"/>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对存在重大安全隐患、整改不彻底的，是否及时将问题抄送相关职能部门，督促其限期整改到位。</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eastAsia="zh-CN" w:bidi="ar"/>
              </w:rPr>
              <w:t>各地</w:t>
            </w:r>
            <w:r>
              <w:rPr>
                <w:rFonts w:hint="eastAsia" w:ascii="仿宋_GB2312" w:hAnsi="仿宋_GB2312" w:eastAsia="仿宋_GB2312" w:cs="仿宋_GB2312"/>
                <w:color w:val="000000"/>
                <w:kern w:val="0"/>
                <w:sz w:val="21"/>
                <w:szCs w:val="21"/>
                <w:lang w:bidi="ar"/>
              </w:rPr>
              <w:t>对</w:t>
            </w:r>
            <w:r>
              <w:rPr>
                <w:rFonts w:hint="eastAsia" w:ascii="仿宋_GB2312" w:hAnsi="仿宋_GB2312" w:eastAsia="仿宋_GB2312" w:cs="仿宋_GB2312"/>
                <w:color w:val="000000"/>
                <w:kern w:val="0"/>
                <w:sz w:val="21"/>
                <w:szCs w:val="21"/>
                <w:lang w:eastAsia="zh-CN" w:bidi="ar"/>
              </w:rPr>
              <w:t>养老机构</w:t>
            </w:r>
            <w:r>
              <w:rPr>
                <w:rFonts w:hint="eastAsia" w:ascii="仿宋_GB2312" w:hAnsi="仿宋_GB2312" w:eastAsia="仿宋_GB2312" w:cs="仿宋_GB2312"/>
                <w:color w:val="000000"/>
                <w:kern w:val="0"/>
                <w:sz w:val="21"/>
                <w:szCs w:val="21"/>
                <w:lang w:bidi="ar"/>
              </w:rPr>
              <w:t>存在重大安全隐患、整改不彻底的，要及时将问题抄送属地政府及相关职能部门，督促其限期整改到位。</w:t>
            </w:r>
          </w:p>
        </w:tc>
      </w:tr>
      <w:tr>
        <w:tblPrEx>
          <w:tblCellMar>
            <w:top w:w="0" w:type="dxa"/>
            <w:left w:w="108" w:type="dxa"/>
            <w:bottom w:w="0" w:type="dxa"/>
            <w:right w:w="108" w:type="dxa"/>
          </w:tblCellMar>
        </w:tblPrEx>
        <w:trPr>
          <w:cantSplit/>
          <w:trHeight w:val="449" w:hRule="atLeast"/>
          <w:jc w:val="center"/>
        </w:trPr>
        <w:tc>
          <w:tcPr>
            <w:tcW w:w="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1</w:t>
            </w:r>
            <w:r>
              <w:rPr>
                <w:rFonts w:hint="eastAsia" w:ascii="仿宋_GB2312" w:hAnsi="仿宋_GB2312" w:eastAsia="仿宋_GB2312" w:cs="仿宋_GB2312"/>
                <w:color w:val="000000"/>
                <w:kern w:val="0"/>
                <w:sz w:val="21"/>
                <w:szCs w:val="21"/>
                <w:lang w:val="en-US" w:eastAsia="zh-CN" w:bidi="ar"/>
              </w:rPr>
              <w:t>3</w:t>
            </w:r>
          </w:p>
        </w:tc>
        <w:tc>
          <w:tcPr>
            <w:tcW w:w="107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center"/>
              <w:rPr>
                <w:rFonts w:hint="eastAsia" w:ascii="仿宋_GB2312" w:hAnsi="仿宋_GB2312" w:eastAsia="仿宋_GB2312" w:cs="仿宋_GB2312"/>
                <w:color w:val="000000"/>
                <w:sz w:val="21"/>
                <w:szCs w:val="21"/>
              </w:rPr>
            </w:pPr>
          </w:p>
        </w:tc>
        <w:tc>
          <w:tcPr>
            <w:tcW w:w="5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装修改造过程中，是否改变建筑主体结构，是否未经批准新建、违规搭建。</w:t>
            </w:r>
          </w:p>
        </w:tc>
        <w:tc>
          <w:tcPr>
            <w:tcW w:w="61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eastAsia="zh-CN" w:bidi="ar"/>
              </w:rPr>
              <w:t>公建民营运营方</w:t>
            </w:r>
            <w:r>
              <w:rPr>
                <w:rFonts w:hint="eastAsia" w:ascii="仿宋_GB2312" w:hAnsi="仿宋_GB2312" w:eastAsia="仿宋_GB2312" w:cs="仿宋_GB2312"/>
                <w:color w:val="000000"/>
                <w:kern w:val="0"/>
                <w:sz w:val="21"/>
                <w:szCs w:val="21"/>
                <w:lang w:bidi="ar"/>
              </w:rPr>
              <w:t>装修改造不得改变建筑主体结构，未经批准不得新建、违规搭建。</w:t>
            </w:r>
          </w:p>
        </w:tc>
      </w:tr>
    </w:tbl>
    <w:p>
      <w:pPr>
        <w:pStyle w:val="4"/>
        <w:rPr>
          <w:rFonts w:hint="eastAsia"/>
          <w:lang w:eastAsia="zh-CN"/>
        </w:rPr>
      </w:pPr>
    </w:p>
    <w:p>
      <w:pPr>
        <w:pStyle w:val="4"/>
        <w:rPr>
          <w:rFonts w:hint="eastAsia"/>
          <w:lang w:eastAsia="zh-CN"/>
        </w:rPr>
      </w:pPr>
    </w:p>
    <w:p>
      <w:pPr>
        <w:pStyle w:val="4"/>
        <w:rPr>
          <w:rFonts w:hint="eastAsia"/>
          <w:lang w:eastAsia="zh-CN"/>
        </w:rPr>
        <w:sectPr>
          <w:footerReference r:id="rId3" w:type="default"/>
          <w:pgSz w:w="16838" w:h="11906" w:orient="landscape"/>
          <w:pgMar w:top="1587" w:right="2098" w:bottom="1474" w:left="1984" w:header="851" w:footer="992" w:gutter="0"/>
          <w:pgNumType w:fmt="numberInDash"/>
          <w:cols w:space="0" w:num="1"/>
          <w:rtlGutter w:val="0"/>
          <w:docGrid w:linePitch="312" w:charSpace="0"/>
        </w:sect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p>
      <w:pPr>
        <w:pStyle w:val="4"/>
        <w:rPr>
          <w:rFonts w:hint="eastAsia"/>
        </w:rPr>
      </w:pPr>
    </w:p>
    <w:sectPr>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YmZhN2I3YzVkMWVlMGFhODE1MTAxOGYxMmQ4YzEifQ=="/>
  </w:docVars>
  <w:rsids>
    <w:rsidRoot w:val="07836EEE"/>
    <w:rsid w:val="001943CB"/>
    <w:rsid w:val="05AD6D73"/>
    <w:rsid w:val="07836EEE"/>
    <w:rsid w:val="16B470A1"/>
    <w:rsid w:val="1B71019B"/>
    <w:rsid w:val="220672E4"/>
    <w:rsid w:val="23552DA4"/>
    <w:rsid w:val="266A420A"/>
    <w:rsid w:val="27D33E4C"/>
    <w:rsid w:val="29177195"/>
    <w:rsid w:val="2DB44924"/>
    <w:rsid w:val="31DD3668"/>
    <w:rsid w:val="324526DF"/>
    <w:rsid w:val="37527732"/>
    <w:rsid w:val="3920380B"/>
    <w:rsid w:val="3A5B2156"/>
    <w:rsid w:val="51295B34"/>
    <w:rsid w:val="5CED0B6B"/>
    <w:rsid w:val="67D07E67"/>
    <w:rsid w:val="67DE2270"/>
    <w:rsid w:val="6B71002C"/>
    <w:rsid w:val="6D8A65ED"/>
    <w:rsid w:val="6FE74546"/>
    <w:rsid w:val="7A6B1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Body Text Indent 2"/>
    <w:basedOn w:val="1"/>
    <w:qFormat/>
    <w:uiPriority w:val="0"/>
    <w:pPr>
      <w:tabs>
        <w:tab w:val="left" w:pos="7020"/>
      </w:tabs>
      <w:spacing w:line="400" w:lineRule="exact"/>
      <w:ind w:firstLine="640" w:firstLineChars="200"/>
    </w:pPr>
    <w:rPr>
      <w:rFonts w:ascii="仿宋_GB2312" w:hAnsi="宋体" w:eastAsia="仿宋_GB2312"/>
      <w:sz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Table caption|1"/>
    <w:basedOn w:val="1"/>
    <w:qFormat/>
    <w:uiPriority w:val="0"/>
    <w:pPr>
      <w:widowControl w:val="0"/>
      <w:shd w:val="clear" w:color="auto" w:fill="auto"/>
    </w:pPr>
    <w:rPr>
      <w:rFonts w:ascii="宋体" w:hAnsi="宋体" w:eastAsia="宋体" w:cs="宋体"/>
      <w:color w:val="434240"/>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3932</Words>
  <Characters>3989</Characters>
  <Lines>0</Lines>
  <Paragraphs>0</Paragraphs>
  <TotalTime>64</TotalTime>
  <ScaleCrop>false</ScaleCrop>
  <LinksUpToDate>false</LinksUpToDate>
  <CharactersWithSpaces>4174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2023-07-05T02:57:00Z</dcterms:created>
  <dc:creator>Administrator</dc:creator>
  <cp:lastModifiedBy>Administrator</cp:lastModifiedBy>
  <cp:lastPrinted>2023-07-19T09:21:00Z</cp:lastPrinted>
  <dcterms:modified xsi:type="dcterms:W3CDTF">2023-09-07T04:11:14Z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10AF1F8444D64C1AB9EB003A212A9F9F_13</vt:lpwstr>
  </property>
</Properties>
</file>